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0"/>
          <w:szCs w:val="30"/>
          <w:u w:val="none"/>
        </w:rPr>
      </w:pPr>
      <w:r>
        <w:rPr>
          <w:rFonts w:hint="eastAsia"/>
          <w:b/>
          <w:bCs/>
          <w:sz w:val="30"/>
          <w:szCs w:val="30"/>
          <w:u w:val="none"/>
          <w:lang w:val="en-US" w:eastAsia="zh-CN"/>
        </w:rPr>
        <w:t>重庆西南制药二厂有限责任公司</w:t>
      </w:r>
    </w:p>
    <w:p>
      <w:pPr>
        <w:jc w:val="center"/>
        <w:rPr>
          <w:rFonts w:hint="eastAsia" w:eastAsiaTheme="minorEastAsia"/>
          <w:b/>
          <w:bCs/>
          <w:sz w:val="24"/>
          <w:szCs w:val="32"/>
          <w:u w:val="none"/>
          <w:lang w:val="en-US" w:eastAsia="zh-CN"/>
        </w:rPr>
      </w:pPr>
      <w:r>
        <w:rPr>
          <w:rFonts w:hint="eastAsia"/>
          <w:b/>
          <w:bCs/>
          <w:sz w:val="30"/>
          <w:szCs w:val="30"/>
          <w:u w:val="none"/>
          <w:lang w:val="en-US" w:eastAsia="zh-CN"/>
        </w:rPr>
        <w:t>新建氢化车间机电安装工程招标方案</w:t>
      </w:r>
    </w:p>
    <w:p>
      <w:pPr>
        <w:widowControl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Times New Roman"/>
          <w:bCs/>
          <w:sz w:val="24"/>
          <w:szCs w:val="24"/>
        </w:rPr>
        <w:t>：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我公司</w:t>
      </w:r>
      <w:r>
        <w:rPr>
          <w:rFonts w:hint="eastAsia" w:ascii="宋体" w:hAnsi="宋体" w:eastAsia="宋体" w:cs="Times New Roman"/>
          <w:bCs/>
          <w:sz w:val="24"/>
          <w:szCs w:val="24"/>
          <w:lang w:eastAsia="zh-CN"/>
        </w:rPr>
        <w:t>新建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氢化车间机电安装工程</w:t>
      </w:r>
      <w:r>
        <w:rPr>
          <w:rFonts w:hint="eastAsia" w:ascii="宋体" w:hAnsi="宋体" w:eastAsia="宋体" w:cs="Times New Roman"/>
          <w:bCs/>
          <w:sz w:val="24"/>
          <w:szCs w:val="24"/>
        </w:rPr>
        <w:t>项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目</w:t>
      </w:r>
      <w:r>
        <w:rPr>
          <w:rFonts w:hint="eastAsia" w:ascii="宋体" w:hAnsi="宋体" w:eastAsia="宋体" w:cs="Times New Roman"/>
          <w:bCs/>
          <w:sz w:val="24"/>
          <w:szCs w:val="24"/>
        </w:rPr>
        <w:t>按《建设工程工程量清单计价规范》(GB50500-2013)、《重庆市建设工程工程量清单计价规则》(CQJJGZ-2013）</w:t>
      </w:r>
      <w:r>
        <w:rPr>
          <w:rFonts w:hint="eastAsia" w:ascii="宋体" w:hAnsi="宋体" w:eastAsia="宋体" w:cs="Times New Roman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Times New Roman"/>
          <w:bCs/>
          <w:sz w:val="24"/>
          <w:szCs w:val="24"/>
        </w:rPr>
        <w:t>《重庆市通用安装工程计价定额CQAZDE-2018》执行结算，</w:t>
      </w:r>
      <w:r>
        <w:rPr>
          <w:rFonts w:hint="eastAsia" w:ascii="宋体" w:hAnsi="宋体" w:eastAsia="宋体"/>
          <w:sz w:val="24"/>
          <w:szCs w:val="24"/>
        </w:rPr>
        <w:t>请各报价单位</w:t>
      </w:r>
      <w:r>
        <w:rPr>
          <w:rFonts w:hint="eastAsia" w:ascii="宋体" w:hAnsi="宋体" w:eastAsia="宋体"/>
          <w:sz w:val="24"/>
          <w:szCs w:val="24"/>
          <w:lang w:eastAsia="zh-CN"/>
        </w:rPr>
        <w:t>在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限价</w:t>
      </w:r>
      <w:r>
        <w:rPr>
          <w:rFonts w:hint="eastAsia" w:ascii="宋体" w:hAnsi="宋体" w:eastAsia="宋体"/>
          <w:sz w:val="24"/>
          <w:szCs w:val="24"/>
        </w:rPr>
        <w:t>要求基础之上结合自身公司情况自行考虑下浮比例。</w:t>
      </w:r>
    </w:p>
    <w:tbl>
      <w:tblPr>
        <w:tblStyle w:val="10"/>
        <w:tblW w:w="969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8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4" w:type="dxa"/>
            <w:gridSpan w:val="2"/>
          </w:tcPr>
          <w:p>
            <w:pPr>
              <w:spacing w:line="360" w:lineRule="auto"/>
              <w:ind w:firstLine="482" w:firstLineChars="20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重庆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西南制药二厂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有限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责任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公司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新建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氢化车间机电安装工程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报价表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报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价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求</w:t>
            </w:r>
          </w:p>
        </w:tc>
        <w:tc>
          <w:tcPr>
            <w:tcW w:w="8877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氢化车间安装项目工程造价已编制完成，详见附件1；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合同外的项目按以下变更估价原则</w:t>
            </w:r>
          </w:p>
          <w:p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（1）已标价工程量清单或预算书有相同项目的，按照相同项目单价认定；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（2）已标价工程量清单或预算书中无相同项目，但有类似项目的，参照类似项目的单价认定；</w:t>
            </w:r>
          </w:p>
          <w:p>
            <w:pPr>
              <w:pStyle w:val="3"/>
              <w:ind w:left="0" w:leftChars="0" w:firstLine="0" w:firstLineChars="0"/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已标价工程量清单或预算书中无相同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和类似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项目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的，按</w:t>
            </w: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  <w:t>《建设工程工程量清单计价规范》(GB50500-2013)、《重庆市建设工程工程量清单计价规则》(CQJJGZ-2013）、《重庆市通用安装工程计价定额CQAZDE-2018》及相关配套文件进行组价并按承包人报价浮动率下浮（认质核价的设备和材料不参与浮动），经发包人审定后执行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工艺管道中≤300mm的管道，按照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相应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规格及材质管件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计取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费用；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拆除项目：按相应安装定额人工费、机械费乘系数0.5计取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费用；</w:t>
            </w:r>
          </w:p>
          <w:p>
            <w:pPr>
              <w:spacing w:line="360" w:lineRule="auto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5、主材甲供，辅材乙供；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6、开具9%的增值税发票；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7、各单位根据造价预算，结合公司情况，考虑下浮比例，一次性报价；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8、请贵公司于2022年6月2日上午12：00时，将投标文件报送到重庆西南制药二厂有限责任公司，地址：重庆市江津区德感工业园区重庆西南制药二厂有限责任公司。</w:t>
            </w:r>
          </w:p>
          <w:p>
            <w:pPr>
              <w:spacing w:line="360" w:lineRule="auto"/>
              <w:ind w:firstLine="480" w:firstLineChars="200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报价</w:t>
            </w:r>
          </w:p>
        </w:tc>
        <w:tc>
          <w:tcPr>
            <w:tcW w:w="8877" w:type="dxa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本项目总价（</w:t>
            </w:r>
            <w:r>
              <w:t>除</w:t>
            </w:r>
            <w:r>
              <w:rPr>
                <w:rFonts w:hint="eastAsia"/>
                <w:lang w:val="en-US" w:eastAsia="zh-CN"/>
              </w:rPr>
              <w:t>未计价材料、签证、人工调差、</w:t>
            </w:r>
            <w:r>
              <w:t>规费、税金、安全文明施工费外</w:t>
            </w:r>
            <w:r>
              <w:rPr>
                <w:rFonts w:hint="eastAsia" w:ascii="宋体" w:hAnsi="宋体"/>
                <w:sz w:val="24"/>
                <w:szCs w:val="24"/>
              </w:rPr>
              <w:t>）下浮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%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报价单位</w:t>
            </w:r>
          </w:p>
        </w:tc>
        <w:tc>
          <w:tcPr>
            <w:tcW w:w="8877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单位名称（盖章）：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联系人（电话）：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报价日期：</w:t>
            </w:r>
          </w:p>
        </w:tc>
      </w:tr>
    </w:tbl>
    <w:p>
      <w:pPr>
        <w:spacing w:line="360" w:lineRule="auto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说明：报价单位统一按本格式报价。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宋体" w:hAnsi="宋体"/>
          <w:sz w:val="24"/>
          <w:szCs w:val="24"/>
        </w:rPr>
        <w:t>重庆</w:t>
      </w:r>
      <w:r>
        <w:rPr>
          <w:rFonts w:hint="eastAsia" w:ascii="宋体" w:hAnsi="宋体"/>
          <w:sz w:val="24"/>
          <w:szCs w:val="24"/>
          <w:lang w:val="en-US" w:eastAsia="zh-CN"/>
        </w:rPr>
        <w:t>西南制药二厂</w:t>
      </w:r>
      <w:r>
        <w:rPr>
          <w:rFonts w:hint="eastAsia" w:ascii="宋体" w:hAnsi="宋体"/>
          <w:sz w:val="24"/>
          <w:szCs w:val="24"/>
        </w:rPr>
        <w:t>有限</w:t>
      </w:r>
      <w:r>
        <w:rPr>
          <w:rFonts w:hint="eastAsia" w:ascii="宋体" w:hAnsi="宋体"/>
          <w:sz w:val="24"/>
          <w:szCs w:val="24"/>
          <w:lang w:eastAsia="zh-CN"/>
        </w:rPr>
        <w:t>责任</w:t>
      </w:r>
      <w:r>
        <w:rPr>
          <w:rFonts w:hint="eastAsia" w:ascii="宋体" w:hAnsi="宋体"/>
          <w:sz w:val="24"/>
          <w:szCs w:val="24"/>
        </w:rPr>
        <w:t>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eastAsia="zh-CN"/>
        </w:rPr>
        <w:t>设备</w:t>
      </w:r>
      <w:r>
        <w:rPr>
          <w:rFonts w:hint="eastAsia" w:ascii="宋体" w:hAnsi="宋体"/>
          <w:sz w:val="24"/>
          <w:szCs w:val="24"/>
        </w:rPr>
        <w:t xml:space="preserve">工程部　　　　　　　　　　　　　　　　　　　　　         </w:t>
      </w:r>
    </w:p>
    <w:sectPr>
      <w:headerReference r:id="rId3" w:type="default"/>
      <w:pgSz w:w="11906" w:h="16838"/>
      <w:pgMar w:top="397" w:right="567" w:bottom="426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/>
      </w:rPr>
      <w:t>重庆</w:t>
    </w:r>
    <w:r>
      <w:rPr>
        <w:rFonts w:hint="eastAsia"/>
        <w:lang w:val="en-US" w:eastAsia="zh-CN"/>
      </w:rPr>
      <w:t>西南制药二厂</w:t>
    </w:r>
    <w:r>
      <w:rPr>
        <w:rFonts w:hint="eastAsia"/>
      </w:rPr>
      <w:t>有限</w:t>
    </w:r>
    <w:r>
      <w:rPr>
        <w:rFonts w:hint="eastAsia"/>
        <w:lang w:eastAsia="zh-CN"/>
      </w:rPr>
      <w:t>责任</w:t>
    </w:r>
    <w:r>
      <w:rPr>
        <w:rFonts w:hint="eastAsia"/>
      </w:rPr>
      <w:t xml:space="preserve">公司                  </w:t>
    </w:r>
    <w:r>
      <w:rPr>
        <w:rFonts w:hint="eastAsia"/>
        <w:lang w:eastAsia="zh-CN"/>
      </w:rPr>
      <w:t>新建</w:t>
    </w:r>
    <w:r>
      <w:rPr>
        <w:rFonts w:hint="eastAsia"/>
        <w:lang w:val="en-US" w:eastAsia="zh-CN"/>
      </w:rPr>
      <w:t>氢化车间机电安装工程</w:t>
    </w:r>
    <w:r>
      <w:rPr>
        <w:rFonts w:hint="eastAsia"/>
      </w:rPr>
      <w:t xml:space="preserve">                                报价要求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61CAA4"/>
    <w:multiLevelType w:val="singleLevel"/>
    <w:tmpl w:val="B161CA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ZDBmNjUzZDVlMjkyZTRjN2M3ZDczZjg4ZDJkMzEifQ=="/>
  </w:docVars>
  <w:rsids>
    <w:rsidRoot w:val="009D68AF"/>
    <w:rsid w:val="0000300D"/>
    <w:rsid w:val="00013B88"/>
    <w:rsid w:val="00031B75"/>
    <w:rsid w:val="00037297"/>
    <w:rsid w:val="00052A2F"/>
    <w:rsid w:val="000A2905"/>
    <w:rsid w:val="000D2927"/>
    <w:rsid w:val="000D329E"/>
    <w:rsid w:val="000F4AD7"/>
    <w:rsid w:val="00104451"/>
    <w:rsid w:val="00160073"/>
    <w:rsid w:val="001A27B1"/>
    <w:rsid w:val="001C67FB"/>
    <w:rsid w:val="001D2B00"/>
    <w:rsid w:val="001F14F8"/>
    <w:rsid w:val="002249DA"/>
    <w:rsid w:val="0025676E"/>
    <w:rsid w:val="00267D12"/>
    <w:rsid w:val="00271E37"/>
    <w:rsid w:val="0032107F"/>
    <w:rsid w:val="003343EC"/>
    <w:rsid w:val="003568D8"/>
    <w:rsid w:val="00387AF0"/>
    <w:rsid w:val="003B329D"/>
    <w:rsid w:val="004902BC"/>
    <w:rsid w:val="004A2718"/>
    <w:rsid w:val="004B13D4"/>
    <w:rsid w:val="00500B6C"/>
    <w:rsid w:val="005D77EF"/>
    <w:rsid w:val="006242D1"/>
    <w:rsid w:val="006255F1"/>
    <w:rsid w:val="006A3A18"/>
    <w:rsid w:val="006A573F"/>
    <w:rsid w:val="006B7E90"/>
    <w:rsid w:val="006C4708"/>
    <w:rsid w:val="006E7125"/>
    <w:rsid w:val="006F56F7"/>
    <w:rsid w:val="00753325"/>
    <w:rsid w:val="007628DB"/>
    <w:rsid w:val="007B2E5C"/>
    <w:rsid w:val="00803F8F"/>
    <w:rsid w:val="00835D5B"/>
    <w:rsid w:val="008876BD"/>
    <w:rsid w:val="00897967"/>
    <w:rsid w:val="008C43D5"/>
    <w:rsid w:val="008E10EF"/>
    <w:rsid w:val="008F7C97"/>
    <w:rsid w:val="00902C74"/>
    <w:rsid w:val="00932D7A"/>
    <w:rsid w:val="009D68AF"/>
    <w:rsid w:val="009F3F1C"/>
    <w:rsid w:val="00A145F9"/>
    <w:rsid w:val="00A54C48"/>
    <w:rsid w:val="00A55511"/>
    <w:rsid w:val="00A84FB5"/>
    <w:rsid w:val="00A94DFA"/>
    <w:rsid w:val="00AB0A3D"/>
    <w:rsid w:val="00AC6DE3"/>
    <w:rsid w:val="00B21F91"/>
    <w:rsid w:val="00B95F8F"/>
    <w:rsid w:val="00BB1CCF"/>
    <w:rsid w:val="00C97637"/>
    <w:rsid w:val="00CB1144"/>
    <w:rsid w:val="00CB6795"/>
    <w:rsid w:val="00CD0286"/>
    <w:rsid w:val="00D472F0"/>
    <w:rsid w:val="00D6021B"/>
    <w:rsid w:val="00D73298"/>
    <w:rsid w:val="00DC45F9"/>
    <w:rsid w:val="00E2060E"/>
    <w:rsid w:val="00E40316"/>
    <w:rsid w:val="00E62227"/>
    <w:rsid w:val="00EB3F76"/>
    <w:rsid w:val="00EC201E"/>
    <w:rsid w:val="00F00A36"/>
    <w:rsid w:val="00F1779C"/>
    <w:rsid w:val="00F302A7"/>
    <w:rsid w:val="00F617FA"/>
    <w:rsid w:val="00F8143C"/>
    <w:rsid w:val="00FB6A36"/>
    <w:rsid w:val="00FD07C1"/>
    <w:rsid w:val="10AB4F16"/>
    <w:rsid w:val="139829E5"/>
    <w:rsid w:val="16092C9E"/>
    <w:rsid w:val="186B5A8F"/>
    <w:rsid w:val="19DB0B08"/>
    <w:rsid w:val="1C5E7BF6"/>
    <w:rsid w:val="21D9222C"/>
    <w:rsid w:val="2D6B403C"/>
    <w:rsid w:val="3C2963A9"/>
    <w:rsid w:val="44952F59"/>
    <w:rsid w:val="4C1C039F"/>
    <w:rsid w:val="557F4316"/>
    <w:rsid w:val="5AE623A0"/>
    <w:rsid w:val="652B054D"/>
    <w:rsid w:val="6ED55830"/>
    <w:rsid w:val="7847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11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571B7-611B-4021-A0A7-372CB4260F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704</Words>
  <Characters>784</Characters>
  <Lines>6</Lines>
  <Paragraphs>1</Paragraphs>
  <TotalTime>12</TotalTime>
  <ScaleCrop>false</ScaleCrop>
  <LinksUpToDate>false</LinksUpToDate>
  <CharactersWithSpaces>946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2020-12-30T03:46:00Z</dcterms:created>
  <dc:creator>Administrator</dc:creator>
  <cp:lastModifiedBy>Administrator</cp:lastModifiedBy>
  <cp:lastPrinted>2020-12-31T02:25:00Z</cp:lastPrinted>
  <dcterms:modified xsi:type="dcterms:W3CDTF">2022-05-31T01:59:18Z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4E8B57501A2549CA9CDF1AECC9AB490C</vt:lpwstr>
  </property>
</Properties>
</file>